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9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9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9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9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9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Думы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9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Артемовского городского округа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9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  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9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9"/>
        <w:jc w:val="both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ПО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РЯДОК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назначения и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проведения собраний граждан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spacing w:after="0" w:afterAutospacing="0" w:line="240" w:lineRule="auto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в Артемовском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городском округе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jc w:val="center"/>
        <w:spacing w:after="0" w:afterAutospacing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ind w:left="0" w:right="-140" w:firstLine="709"/>
        <w:jc w:val="both"/>
        <w:spacing w:after="0" w:afterAutospacing="0" w:line="240" w:lineRule="auto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  <w:t xml:space="preserve">1</w:t>
      </w:r>
      <w:r>
        <w:rPr>
          <w:rFonts w:ascii="Times New Roman" w:hAnsi="Times New Roman"/>
          <w:b/>
          <w:bCs/>
          <w:sz w:val="24"/>
          <w:szCs w:val="24"/>
          <w:highlight w:val="none"/>
        </w:rPr>
        <w:t xml:space="preserve">. Общие положения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afterAutospacing="0" w:line="360" w:lineRule="auto"/>
        <w:rPr>
          <w:rFonts w:ascii="Times New Roman" w:hAnsi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  <w:t xml:space="preserve">1.1. Настоящий Порядок разработан в соответствии с Федеральным законом от 20.03.2025 № 33-ФЗ «Об общих принципах организации местного самоуправления в единой системе публичной власти», Уставом Артемовского городского округа Приморского края и определяет порядок назначения и проведения собраний граждан в Артемовском городском округе (далее – Порядок).  </w:t>
      </w:r>
      <w:r>
        <w:rPr>
          <w:rFonts w:ascii="Times New Roman" w:hAnsi="Times New Roman"/>
          <w:b w:val="0"/>
          <w:bCs w:val="0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36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1.2.</w:t>
      </w:r>
      <w:r>
        <w:rPr>
          <w:rFonts w:ascii="Times New Roman" w:hAnsi="Times New Roman"/>
          <w:sz w:val="24"/>
          <w:szCs w:val="24"/>
        </w:rPr>
        <w:t xml:space="preserve"> На территории Артемовского городского округа </w:t>
      </w:r>
      <w:r>
        <w:rPr>
          <w:rFonts w:ascii="Times New Roman" w:hAnsi="Times New Roman"/>
          <w:sz w:val="24"/>
          <w:szCs w:val="24"/>
          <w:highlight w:val="none"/>
        </w:rPr>
        <w:t xml:space="preserve">собрания граждан </w:t>
      </w:r>
      <w:r>
        <w:rPr>
          <w:rFonts w:ascii="Times New Roman" w:hAnsi="Times New Roman"/>
          <w:sz w:val="24"/>
          <w:szCs w:val="24"/>
        </w:rPr>
        <w:t xml:space="preserve">могу</w:t>
      </w:r>
      <w:r>
        <w:rPr>
          <w:rFonts w:ascii="Times New Roman" w:hAnsi="Times New Roman"/>
          <w:sz w:val="24"/>
          <w:szCs w:val="24"/>
        </w:rPr>
        <w:t xml:space="preserve">т про</w:t>
      </w:r>
      <w:r>
        <w:rPr>
          <w:rFonts w:ascii="Times New Roman" w:hAnsi="Times New Roman"/>
          <w:sz w:val="24"/>
          <w:szCs w:val="24"/>
        </w:rPr>
        <w:t xml:space="preserve">водиться: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36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для обсуждения вопросов местного значения;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36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для информирования населения о деятельности органов местного самоуправления Артемовского городского округа и должностных лиц местного самоуправления;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36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на территории Артемовского городского округа или на части его территории по вопросу выявления мнения граждан о поддержке инициативного проекта;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36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36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в целях осуществления территориального общественного самоуправления на части территории Артемовского городского округа.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36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1.3. </w:t>
      </w:r>
      <w:r>
        <w:rPr>
          <w:rFonts w:ascii="Times New Roman" w:hAnsi="Times New Roman"/>
          <w:sz w:val="24"/>
          <w:szCs w:val="24"/>
          <w:highlight w:val="none"/>
        </w:rPr>
        <w:t xml:space="preserve">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36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1.4.</w:t>
      </w:r>
      <w:r>
        <w:rPr>
          <w:rFonts w:ascii="Times New Roman" w:hAnsi="Times New Roman"/>
          <w:sz w:val="24"/>
          <w:szCs w:val="24"/>
          <w:highlight w:val="none"/>
        </w:rPr>
        <w:t xml:space="preserve"> Собрание граждан проводится по инициативе населения, Думы Артемовского городского округа, главы Артемовского городского округа.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36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1.5. Собрание граждан, проводимое по инициативе Думы Артемовского городского округа или главы Артемовского городского округа, назначается соответственно Думой Артемовского городского округа или главой Артемовского городского округа.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36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1.6. </w:t>
      </w:r>
      <w:r>
        <w:rPr>
          <w:rFonts w:ascii="Times New Roman" w:hAnsi="Times New Roman"/>
          <w:sz w:val="24"/>
          <w:szCs w:val="24"/>
          <w:highlight w:val="none"/>
        </w:rPr>
        <w:t xml:space="preserve">Собрание граждан, проводимое по инициативе населения, назначается Думой Артемовского городского округа в соответствии с настоящим Порядком.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sz w:val="24"/>
          <w:szCs w:val="24"/>
          <w:highlight w:val="none"/>
        </w:rPr>
        <w:t xml:space="preserve">2. Права граждан на участие в собрании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36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В соб</w:t>
      </w:r>
      <w:r>
        <w:rPr>
          <w:rFonts w:ascii="Times New Roman" w:hAnsi="Times New Roman"/>
          <w:sz w:val="24"/>
          <w:szCs w:val="24"/>
          <w:highlight w:val="none"/>
        </w:rPr>
        <w:t xml:space="preserve">рании граждан, проводимом на территории Артемовского городского округа для обсуждения вопросов местного значения, для информирования населения Артемовского городского округа о деятельн</w:t>
      </w:r>
      <w:r>
        <w:rPr>
          <w:rFonts w:ascii="Times New Roman" w:hAnsi="Times New Roman"/>
          <w:sz w:val="24"/>
          <w:szCs w:val="24"/>
          <w:highlight w:val="none"/>
        </w:rPr>
        <w:t xml:space="preserve">ости органов местного самоуправления Артемовского городского округа и должностных лиц местного самоуправления Артемовского городского округа, вправе принимать участие жители территории Артемовского городского округа, достигшие восемнадцатилетнего возраста.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36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В собрании граждан</w:t>
      </w:r>
      <w:r>
        <w:rPr>
          <w:rFonts w:ascii="Times New Roman" w:hAnsi="Times New Roman"/>
          <w:sz w:val="24"/>
          <w:szCs w:val="24"/>
          <w:highlight w:val="none"/>
        </w:rPr>
        <w:t xml:space="preserve">, проводимом на территории Артемовского городского округа или на части его территории по вопросу выявления мнения граждан о поддержке инициативного проекта, вправе принимать участие жители соответствующей территории, достигшие восемнадцатилетнего возраста.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36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В собрании граждан, проводимом в сельском населенном пункте, входящем в состав Артемовского городского округа, по вопросу выдвижения кандид</w:t>
      </w:r>
      <w:r>
        <w:rPr>
          <w:rFonts w:ascii="Times New Roman" w:hAnsi="Times New Roman"/>
          <w:sz w:val="24"/>
          <w:szCs w:val="24"/>
          <w:highlight w:val="none"/>
        </w:rPr>
        <w:t xml:space="preserve">атуры старосты сельского населенного пункта, по вопросу досрочного прекращения полномочий старосты сельского населенного пункта, могут принять участие граждане Российской Федерации, проживающие на территории данного сельского населенного пункта и обладающи</w:t>
      </w:r>
      <w:r>
        <w:rPr>
          <w:rFonts w:ascii="Times New Roman" w:hAnsi="Times New Roman"/>
          <w:sz w:val="24"/>
          <w:szCs w:val="24"/>
          <w:highlight w:val="none"/>
        </w:rPr>
        <w:t xml:space="preserve">е активным избирательным правом.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240" w:lineRule="auto"/>
        <w:widowControl w:val="off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sz w:val="24"/>
          <w:szCs w:val="24"/>
          <w:highlight w:val="none"/>
        </w:rPr>
        <w:t xml:space="preserve">3. Общие принципы проведения собрания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36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3.1. </w:t>
      </w:r>
      <w:r>
        <w:rPr>
          <w:rFonts w:ascii="Times New Roman" w:hAnsi="Times New Roman"/>
          <w:sz w:val="24"/>
          <w:szCs w:val="24"/>
          <w:highlight w:val="none"/>
        </w:rPr>
        <w:t xml:space="preserve">Граждане участвуют в собрании непосредственно.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36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3.2. Участие г</w:t>
      </w:r>
      <w:r>
        <w:rPr>
          <w:rFonts w:ascii="Times New Roman" w:hAnsi="Times New Roman"/>
          <w:sz w:val="24"/>
          <w:szCs w:val="24"/>
          <w:highlight w:val="none"/>
        </w:rPr>
        <w:t xml:space="preserve">раждан в собрании является</w:t>
      </w:r>
      <w:r>
        <w:rPr>
          <w:rFonts w:ascii="Times New Roman" w:hAnsi="Times New Roman"/>
          <w:sz w:val="24"/>
          <w:szCs w:val="24"/>
          <w:highlight w:val="none"/>
        </w:rPr>
        <w:t xml:space="preserve"> добровольным и свободным.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36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3.3. Граждане участвуют в собрании на равных основаниях. При участии в собрании каждый гражданин имеет один голос. Принятие решения на собрании граждан осуществляется открытым голосованием путем поднятия руки.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36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3.4.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Собрание считается правомочным, если в нем принимает участие не менее одной трети граждан Артемовского городского округа или части территории, на которой проводится собрание граждан, и обладающих правом на участие в собрании.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4.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  <w:t xml:space="preserve">Порядок назначения собрания граждан по инициативе населения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0" w:right="-140" w:firstLine="709"/>
        <w:jc w:val="both"/>
        <w:spacing w:after="0" w:afterAutospacing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4.1. С обращением в Думу Артемовского городского округа о проведении собрания граждан от населения вправе выступить инициативная группа граждан численностью не менее 10 (десяти) человек.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</w:p>
    <w:p>
      <w:pPr>
        <w:ind w:left="0" w:right="-140" w:firstLine="709"/>
        <w:jc w:val="both"/>
        <w:spacing w:after="0" w:afterAutospacing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4.2. Обращение о проведении собрания граждан оформляется в виде письменного заявления инициативной группы в Думу Артемовского городского округа. В заявлении указываются: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</w:p>
    <w:p>
      <w:pPr>
        <w:ind w:left="0" w:right="-140" w:firstLine="709"/>
        <w:jc w:val="both"/>
        <w:spacing w:after="0" w:afterAutospacing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вопросы, выносимые на рассмотрение собрания с обоснованием необходимости их обсуждения;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</w:p>
    <w:p>
      <w:pPr>
        <w:ind w:left="0" w:right="-140" w:firstLine="709"/>
        <w:jc w:val="both"/>
        <w:spacing w:after="0" w:afterAutospacing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сроки проведения собрания;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</w:p>
    <w:p>
      <w:pPr>
        <w:ind w:left="0" w:right="-140" w:firstLine="709"/>
        <w:jc w:val="both"/>
        <w:spacing w:after="0" w:afterAutospacing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территория, на которой должно проводиться собрание;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</w:p>
    <w:p>
      <w:pPr>
        <w:ind w:left="0" w:right="-140" w:firstLine="709"/>
        <w:jc w:val="both"/>
        <w:spacing w:after="0" w:afterAutospacing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фамилия, имя, отчество, адрес места жительства членов инициативной группы;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</w:p>
    <w:p>
      <w:pPr>
        <w:ind w:left="0" w:right="-140" w:firstLine="709"/>
        <w:jc w:val="both"/>
        <w:spacing w:after="0" w:afterAutospacing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контактный телефон уполномоченного представителя инициативной группы.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</w:p>
    <w:p>
      <w:pPr>
        <w:ind w:left="0" w:right="-140" w:firstLine="709"/>
        <w:jc w:val="both"/>
        <w:spacing w:after="0" w:afterAutospacing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4.3. К заявлению прилагаются: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</w:p>
    <w:p>
      <w:pPr>
        <w:ind w:left="0" w:right="-140" w:firstLine="709"/>
        <w:jc w:val="both"/>
        <w:spacing w:after="0" w:afterAutospacing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подписной лист по форме согласно приложению 1 к настоящему Порядку, где указываются данные жителей соответствующей территории, достигших восемнадцатилетнего возраста: фамилия, имя, отчество, дата рождения, серия и номер паспорта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 или заменяющего его документа, адрес места жительства, подпись и дата ее внесения. Подписной лист заверяется лицом, осуществляющим сбор подписей, с указанием его фамилии, имени, отчества, серии и номера паспорта, адреса места жительства и даты подписания;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</w:p>
    <w:p>
      <w:pPr>
        <w:ind w:left="0" w:right="-140" w:firstLine="709"/>
        <w:jc w:val="both"/>
        <w:spacing w:after="0" w:afterAutospacing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en-US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согласие на обработку персональных данных по форме согласно приложению 2 к настоящему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 Порядку.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</w:p>
    <w:p>
      <w:pPr>
        <w:ind w:left="0" w:right="-140" w:firstLine="709"/>
        <w:jc w:val="both"/>
        <w:spacing w:after="0" w:afterAutospacing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val="en-US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Заявление подписывается членами инициативной группы.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en-US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en-US"/>
        </w:rPr>
      </w:r>
    </w:p>
    <w:p>
      <w:pPr>
        <w:ind w:left="0" w:right="-140" w:firstLine="709"/>
        <w:jc w:val="both"/>
        <w:spacing w:after="0" w:afterAutospacing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4.4. Дума Артемовского городского округа в срок не позднее 30 дней со дня поступления заявления и прилагаемых документов от инициативной группы принимает одно из следующих решений: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</w:p>
    <w:p>
      <w:pPr>
        <w:ind w:left="0" w:right="-140" w:firstLine="709"/>
        <w:jc w:val="both"/>
        <w:spacing w:before="0" w:beforeAutospacing="0" w:after="0" w:afterAutospacing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о назначении проведения собрания граждан;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</w:p>
    <w:p>
      <w:pPr>
        <w:ind w:left="0" w:right="-14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об отказе в назначении проведения собрания граждан.</w:t>
      </w:r>
      <w:r/>
    </w:p>
    <w:p>
      <w:pPr>
        <w:ind w:left="0" w:right="-14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4.5. Решение об отказе в назначении проведения собрания граждан принимается в случае несоответствия поданной инициативы требованиям, установленным настоящим Порядком.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right="-14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4.6. О принятом решении в течение 5 (пяти) рабочих дней после его принятия Дума Артемовского городского округа уведомляет инициативную группу граждан письменно на имя уполномоченного представителя инициативной группы.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right="-140" w:firstLine="709"/>
        <w:jc w:val="both"/>
        <w:spacing w:before="0" w:beforeAutospacing="0" w:after="0" w:afterAutospacing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4.7.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Решение Думы Артемовского городс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кого округа о назначении проведения собрания граждан или об отказе в назначении проведения собрания граждан в течение 5 (пяти) рабочих дней со дня принятия подлежит размещению на официальном сайте Думы Артемовского городского округа в информационно-телекоммуникационной сети Интернет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before="0" w:beforeAutospacing="0" w:after="0" w:afterAutospacing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4.8. В решении Думы Артемовского городского округа о назначении проведения собрания граждан указываются: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before="0" w:beforeAutospacing="0" w:after="0" w:afterAutospacing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сведения об инициаторах собрания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</w:p>
    <w:p>
      <w:pPr>
        <w:ind w:left="0" w:right="-140" w:firstLine="709"/>
        <w:jc w:val="both"/>
        <w:spacing w:after="0" w:afterAutospacing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дата, место и время проведения собрания граждан;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afterAutospacing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вопрос (вопросы), выносимые на рассмотрение собрания;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afterAutospacing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территория, в границах которой будет проводиться собрание.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ind w:left="0" w:right="-140" w:firstLine="709"/>
        <w:jc w:val="both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  <w:t xml:space="preserve">5. Порядок назначения собрания граждан по инициативе главы Артемовского          городского округа, Думы Артемовского городского округа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5.1. Для обсуждения вопросов местного значения, для информирования населения о деятельности органов местного самоуправления и должностных лиц местного самоуправления глава Артемовского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городского округа, Дума Артемовского городского округа вправе самостоятельно принять решение о назначении проведения собрания граждан.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5.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2. В решении о назначении проведения собрания граждан указываются выносимые на обсуждение общего собрания вопросы, дата, время и место проведения собрания, должностное лицо (перечень должностных лиц), уполномоченное на организацию и проведение собрания (далее - уполн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омоченное лицо).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5.3. Решение о назначении проведения собрания граждан в течение 5 (пяти) рабочих дней со дня принятия подлежит размещению на официальном сайте органа местного самоуправления Артемовского городского округа, принявшего соответствующее решение,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в информационно-телекоммуникационной сети Интернет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highlight w:val="none"/>
        </w:rPr>
        <w:t xml:space="preserve">6. Оповещение населения о проведении собрания граждан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left="0" w:right="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6.1. Собрание граждан, инициаторами проведения которого выступают Дума Артемовского городского округа или глава Артемовского городского округа, проводится в срок не позднее 30 дней со дня принятия решения о назначении проведения собрания.</w:t>
      </w:r>
      <w:r/>
    </w:p>
    <w:p>
      <w:pPr>
        <w:ind w:left="0" w:right="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6.2. Оповещение населения о проведении собрания граждан осуществляется Думой Артемовского городского округа (если инициатором является Дума Артемовского городского округа либо население города) или главой Артемовского городского округа (если инициатором я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вляется глава Артемовского городского округа) посредством опубликования информации о проведении собрания на официальном сайте Артемовского городского округа или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Думы Артемовского городского округа, социальных сетях и мессенджерах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в информационно-телекоммуникационной сети Интернет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  <w:t xml:space="preserve">.</w:t>
      </w:r>
      <w:r>
        <w:rPr>
          <w:rFonts w:ascii="Times New Roman" w:hAnsi="Times New Roman" w:eastAsia="Times New Roman" w:cs="Times New Roman"/>
          <w:sz w:val="24"/>
        </w:rPr>
      </w:r>
      <w:r/>
    </w:p>
    <w:p>
      <w:pPr>
        <w:ind w:left="0" w:right="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6.3. Оповещение осуществляется заблаговременно, не позднее чем за 5 (пять) рабочих дней до дня проведения собрания граждан.</w:t>
      </w:r>
      <w:r/>
    </w:p>
    <w:p>
      <w:pPr>
        <w:ind w:left="0" w:right="-140" w:firstLine="709"/>
        <w:jc w:val="both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</w:r>
    </w:p>
    <w:p>
      <w:pPr>
        <w:ind w:left="0" w:right="-140" w:firstLine="709"/>
        <w:jc w:val="both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  <w:t xml:space="preserve">7. Порядок проведения собрания граждан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</w:r>
    </w:p>
    <w:p>
      <w:pPr>
        <w:ind w:left="0" w:right="-14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7.1. Перед открытием собрания проводится обязательная регистрация  его  участников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right="-140" w:firstLine="0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с указанием фамилии, имени, отчества, года рождения, адреса места жительства по форме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согласно приложению 3 к настоящему Порядку.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right="-14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7.2. Для ведения собрания избираются председатель, секретарь и счетная комиссия.</w:t>
      </w:r>
      <w:r/>
    </w:p>
    <w:p>
      <w:pPr>
        <w:ind w:left="0" w:right="-14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7.3. Регламент проведения собрания определяется решением собрания.</w:t>
      </w:r>
      <w:r/>
    </w:p>
    <w:p>
      <w:pPr>
        <w:ind w:left="0" w:right="-14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7.4. Секретарем собрания ведется протокол собрания, в котором указываются: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right="-14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дата и место проведения собрания;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right="-14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общее количество граждан, проживающих на территории, на которой проводится собрание, имеющих право принимать участие в собрании;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right="-14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количество присутств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ующих;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right="-14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фамилия, имя, отчество председателя собрания, секретаря собрания и членов счетной комиссии;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right="-14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вопросы, вынесенные инициатором проведения на обсуждение;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right="-14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краткое содержание выступлений (докладов);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right="-14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результаты голосования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и текст принятых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решений (обращений)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-14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7.5. Протокол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собрания оформляется в соответствии с рекомендуемым образцом согласно приложению 4 к настоящему Порядку. К протоколу прилагается список граждан, зарегистрированных для участия в собрании.</w:t>
      </w:r>
      <w:r/>
    </w:p>
    <w:p>
      <w:pPr>
        <w:ind w:left="0" w:right="-14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7.6. Протокол собрания оформляется в двух экземплярах, подписывается председателем собрания и секретарем собрания.</w:t>
      </w:r>
      <w:r/>
    </w:p>
    <w:p>
      <w:pPr>
        <w:ind w:left="0" w:right="-14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7.7. Один экземпляр протокол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а собрания передается (направляется) в орган местного самоуправления Артемовского городского округа или должностному лицу местного самоуправления, которым принято решение о назначении собрания, в течение 5 (пяти) рабочих дней с даты проведения собрания.</w:t>
      </w:r>
      <w:r/>
    </w:p>
    <w:p>
      <w:pPr>
        <w:ind w:left="0" w:right="-14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7.8. Решение по вопросу выдвижения кандидатуры старосты сельского населенного пункта , а также по вопросу досрочного прекращения полномочий старосты сельского населенного пункта принимается большинством голосов участников собрания граждан.</w:t>
      </w:r>
      <w:r/>
    </w:p>
    <w:p>
      <w:pPr>
        <w:ind w:left="0" w:right="-14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  <w:t xml:space="preserve">7.9. Собрание граждан может принимать обращения к органам местного самоуправления и должностным лицам местного самоуправления Артемовского городского округа, а также избирать лиц, уполномоченных представлять собрание граждан во взаимоотношениях с органами местного самоуправления и должностными лицами местного самоуправления Артемовского городского округа. </w:t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left="0" w:right="-14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7.10. Итоги собрания подлежат официальному обнародованию посредством размещения протокола собрания на официальном сайте Думы Артемовского городского округа в информационно-телекоммуникационной сети Интернет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не позднее чем через 15 календарных дней после его поступления в соответствующий орган местного самоуправления Артемовского городского округа.</w:t>
      </w:r>
      <w:r/>
      <w:r/>
    </w:p>
    <w:p>
      <w:pPr>
        <w:ind w:left="0" w:right="-140" w:firstLine="709"/>
        <w:jc w:val="both"/>
        <w:spacing w:after="0" w:afterAutospacing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  <w:t xml:space="preserve">8. Рассмотрение решения собраний граждан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</w:r>
    </w:p>
    <w:p>
      <w:pPr>
        <w:ind w:left="0" w:right="-14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8.1. Решения собраний граждан носят рекомендательный характер для органов местного самоуправления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.</w:t>
      </w:r>
      <w:r/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right="-14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8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.2. Обращения, принятые собранием граждан, подлежат обязательному рассмотрению органами и должностными лицами местного самоуправления Артемовского городского округа, к компетенции которых отнесено решение содержащихся в обращениях вопросов, с направлением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письменного ответа.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left="0" w:right="-140" w:firstLine="709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highlight w:val="none"/>
        </w:rPr>
        <w:t xml:space="preserve">9. Материально-техническое и финансовое обеспечение проведения собрания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highlight w:val="none"/>
        </w:rPr>
      </w:r>
    </w:p>
    <w:p>
      <w:pPr>
        <w:ind w:left="0" w:right="-14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9.1. Организация и проведение собрания, назначенного по инициативе Думы Артемовского городского округа, главы Артемовского городского округа, финансируется за счет средств бюджета Артемовского городского округа.</w:t>
      </w:r>
      <w:r/>
    </w:p>
    <w:p>
      <w:pPr>
        <w:ind w:left="0" w:right="-140" w:firstLine="709"/>
        <w:jc w:val="both"/>
        <w:spacing w:before="0" w:beforeAutospacing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9.2. Организация и проведение собрания, назначенного по инициативе граждан, финансируются за счет средств граждан.</w:t>
      </w:r>
      <w:r/>
    </w:p>
    <w:p>
      <w:pPr>
        <w:ind w:left="0" w:right="-14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left="0" w:right="-140" w:firstLine="709"/>
        <w:jc w:val="both"/>
        <w:spacing w:after="0" w:afterAutospacing="0" w:line="360" w:lineRule="auto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sectPr>
      <w:headerReference w:type="default" r:id="rId9"/>
      <w:footerReference w:type="first" r:id="rId10"/>
      <w:footnotePr/>
      <w:endnotePr/>
      <w:type w:val="nextPage"/>
      <w:pgSz w:w="11906" w:h="16838" w:orient="portrait"/>
      <w:pgMar w:top="994" w:right="707" w:bottom="1082" w:left="1701" w:header="56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MS Mincho">
    <w:panose1 w:val="0202050305040509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28953386"/>
      <w:rPr>
        <w:rFonts w:ascii="Times New Roman" w:hAnsi="Times New Roman"/>
        <w:sz w:val="28"/>
        <w:szCs w:val="28"/>
      </w:rPr>
    </w:sdtPr>
    <w:sdtContent>
      <w:p>
        <w:pPr>
          <w:pStyle w:val="877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 xml:space="preserve">14</w:t>
        </w:r>
        <w:r>
          <w:rPr>
            <w:rFonts w:ascii="Times New Roman" w:hAnsi="Times New Roman"/>
            <w:sz w:val="24"/>
            <w:szCs w:val="24"/>
          </w:rPr>
          <w:fldChar w:fldCharType="end"/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</w:r>
      </w:p>
    </w:sdtContent>
  </w:sdt>
  <w:p>
    <w:pPr>
      <w:pStyle w:val="87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64"/>
    <w:next w:val="864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basedOn w:val="866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64"/>
    <w:next w:val="864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basedOn w:val="866"/>
    <w:link w:val="694"/>
    <w:uiPriority w:val="9"/>
    <w:rPr>
      <w:rFonts w:ascii="Arial" w:hAnsi="Arial" w:eastAsia="Arial" w:cs="Arial"/>
      <w:sz w:val="34"/>
    </w:rPr>
  </w:style>
  <w:style w:type="character" w:styleId="696">
    <w:name w:val="Heading 3 Char"/>
    <w:basedOn w:val="866"/>
    <w:link w:val="865"/>
    <w:uiPriority w:val="9"/>
    <w:rPr>
      <w:rFonts w:ascii="Arial" w:hAnsi="Arial" w:eastAsia="Arial" w:cs="Arial"/>
      <w:sz w:val="30"/>
      <w:szCs w:val="30"/>
    </w:rPr>
  </w:style>
  <w:style w:type="paragraph" w:styleId="697">
    <w:name w:val="Heading 4"/>
    <w:basedOn w:val="864"/>
    <w:next w:val="864"/>
    <w:link w:val="6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8">
    <w:name w:val="Heading 4 Char"/>
    <w:basedOn w:val="866"/>
    <w:link w:val="697"/>
    <w:uiPriority w:val="9"/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864"/>
    <w:next w:val="864"/>
    <w:link w:val="7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0">
    <w:name w:val="Heading 5 Char"/>
    <w:basedOn w:val="866"/>
    <w:link w:val="699"/>
    <w:uiPriority w:val="9"/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864"/>
    <w:next w:val="864"/>
    <w:link w:val="7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2">
    <w:name w:val="Heading 6 Char"/>
    <w:basedOn w:val="866"/>
    <w:link w:val="701"/>
    <w:uiPriority w:val="9"/>
    <w:rPr>
      <w:rFonts w:ascii="Arial" w:hAnsi="Arial" w:eastAsia="Arial" w:cs="Arial"/>
      <w:b/>
      <w:bCs/>
      <w:sz w:val="22"/>
      <w:szCs w:val="22"/>
    </w:rPr>
  </w:style>
  <w:style w:type="paragraph" w:styleId="703">
    <w:name w:val="Heading 7"/>
    <w:basedOn w:val="864"/>
    <w:next w:val="864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4">
    <w:name w:val="Heading 7 Char"/>
    <w:basedOn w:val="866"/>
    <w:link w:val="7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5">
    <w:name w:val="Heading 8"/>
    <w:basedOn w:val="864"/>
    <w:next w:val="864"/>
    <w:link w:val="7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6">
    <w:name w:val="Heading 8 Char"/>
    <w:basedOn w:val="866"/>
    <w:link w:val="705"/>
    <w:uiPriority w:val="9"/>
    <w:rPr>
      <w:rFonts w:ascii="Arial" w:hAnsi="Arial" w:eastAsia="Arial" w:cs="Arial"/>
      <w:i/>
      <w:iCs/>
      <w:sz w:val="22"/>
      <w:szCs w:val="22"/>
    </w:rPr>
  </w:style>
  <w:style w:type="paragraph" w:styleId="707">
    <w:name w:val="Heading 9"/>
    <w:basedOn w:val="864"/>
    <w:next w:val="864"/>
    <w:link w:val="70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8">
    <w:name w:val="Heading 9 Char"/>
    <w:basedOn w:val="866"/>
    <w:link w:val="707"/>
    <w:uiPriority w:val="9"/>
    <w:rPr>
      <w:rFonts w:ascii="Arial" w:hAnsi="Arial" w:eastAsia="Arial" w:cs="Arial"/>
      <w:i/>
      <w:iCs/>
      <w:sz w:val="21"/>
      <w:szCs w:val="21"/>
    </w:rPr>
  </w:style>
  <w:style w:type="paragraph" w:styleId="709">
    <w:name w:val="List Paragraph"/>
    <w:basedOn w:val="864"/>
    <w:uiPriority w:val="34"/>
    <w:qFormat/>
    <w:pPr>
      <w:contextualSpacing/>
      <w:ind w:left="720"/>
    </w:pPr>
  </w:style>
  <w:style w:type="paragraph" w:styleId="710">
    <w:name w:val="Title"/>
    <w:basedOn w:val="864"/>
    <w:next w:val="864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basedOn w:val="866"/>
    <w:link w:val="710"/>
    <w:uiPriority w:val="10"/>
    <w:rPr>
      <w:sz w:val="48"/>
      <w:szCs w:val="48"/>
    </w:rPr>
  </w:style>
  <w:style w:type="paragraph" w:styleId="712">
    <w:name w:val="Subtitle"/>
    <w:basedOn w:val="864"/>
    <w:next w:val="864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basedOn w:val="866"/>
    <w:link w:val="712"/>
    <w:uiPriority w:val="11"/>
    <w:rPr>
      <w:sz w:val="24"/>
      <w:szCs w:val="24"/>
    </w:rPr>
  </w:style>
  <w:style w:type="paragraph" w:styleId="714">
    <w:name w:val="Quote"/>
    <w:basedOn w:val="864"/>
    <w:next w:val="864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4"/>
    <w:next w:val="864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character" w:styleId="718">
    <w:name w:val="Header Char"/>
    <w:basedOn w:val="866"/>
    <w:link w:val="877"/>
    <w:uiPriority w:val="99"/>
  </w:style>
  <w:style w:type="character" w:styleId="719">
    <w:name w:val="Footer Char"/>
    <w:basedOn w:val="866"/>
    <w:link w:val="879"/>
    <w:uiPriority w:val="99"/>
  </w:style>
  <w:style w:type="paragraph" w:styleId="720">
    <w:name w:val="Caption"/>
    <w:basedOn w:val="864"/>
    <w:next w:val="864"/>
    <w:link w:val="7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basedOn w:val="720"/>
    <w:link w:val="879"/>
    <w:uiPriority w:val="99"/>
  </w:style>
  <w:style w:type="table" w:styleId="722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1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2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3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4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5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6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3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4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5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6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7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8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5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6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7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8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9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0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3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4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6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8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9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0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1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2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3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4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5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6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1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2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3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4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5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6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7">
    <w:name w:val="footnote text"/>
    <w:basedOn w:val="864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>
    <w:name w:val="Footnote Text Char"/>
    <w:link w:val="847"/>
    <w:uiPriority w:val="99"/>
    <w:rPr>
      <w:sz w:val="18"/>
    </w:rPr>
  </w:style>
  <w:style w:type="character" w:styleId="849">
    <w:name w:val="footnote reference"/>
    <w:basedOn w:val="866"/>
    <w:uiPriority w:val="99"/>
    <w:unhideWhenUsed/>
    <w:rPr>
      <w:vertAlign w:val="superscript"/>
    </w:rPr>
  </w:style>
  <w:style w:type="paragraph" w:styleId="850">
    <w:name w:val="endnote text"/>
    <w:basedOn w:val="864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>
    <w:name w:val="Endnote Text Char"/>
    <w:link w:val="850"/>
    <w:uiPriority w:val="99"/>
    <w:rPr>
      <w:sz w:val="20"/>
    </w:rPr>
  </w:style>
  <w:style w:type="character" w:styleId="852">
    <w:name w:val="endnote reference"/>
    <w:basedOn w:val="866"/>
    <w:uiPriority w:val="99"/>
    <w:semiHidden/>
    <w:unhideWhenUsed/>
    <w:rPr>
      <w:vertAlign w:val="superscript"/>
    </w:rPr>
  </w:style>
  <w:style w:type="paragraph" w:styleId="853">
    <w:name w:val="toc 1"/>
    <w:basedOn w:val="864"/>
    <w:next w:val="864"/>
    <w:uiPriority w:val="39"/>
    <w:unhideWhenUsed/>
    <w:pPr>
      <w:ind w:left="0" w:right="0" w:firstLine="0"/>
      <w:spacing w:after="57"/>
    </w:pPr>
  </w:style>
  <w:style w:type="paragraph" w:styleId="854">
    <w:name w:val="toc 2"/>
    <w:basedOn w:val="864"/>
    <w:next w:val="864"/>
    <w:uiPriority w:val="39"/>
    <w:unhideWhenUsed/>
    <w:pPr>
      <w:ind w:left="283" w:right="0" w:firstLine="0"/>
      <w:spacing w:after="57"/>
    </w:pPr>
  </w:style>
  <w:style w:type="paragraph" w:styleId="855">
    <w:name w:val="toc 3"/>
    <w:basedOn w:val="864"/>
    <w:next w:val="864"/>
    <w:uiPriority w:val="39"/>
    <w:unhideWhenUsed/>
    <w:pPr>
      <w:ind w:left="567" w:right="0" w:firstLine="0"/>
      <w:spacing w:after="57"/>
    </w:pPr>
  </w:style>
  <w:style w:type="paragraph" w:styleId="856">
    <w:name w:val="toc 4"/>
    <w:basedOn w:val="864"/>
    <w:next w:val="864"/>
    <w:uiPriority w:val="39"/>
    <w:unhideWhenUsed/>
    <w:pPr>
      <w:ind w:left="850" w:right="0" w:firstLine="0"/>
      <w:spacing w:after="57"/>
    </w:pPr>
  </w:style>
  <w:style w:type="paragraph" w:styleId="857">
    <w:name w:val="toc 5"/>
    <w:basedOn w:val="864"/>
    <w:next w:val="864"/>
    <w:uiPriority w:val="39"/>
    <w:unhideWhenUsed/>
    <w:pPr>
      <w:ind w:left="1134" w:right="0" w:firstLine="0"/>
      <w:spacing w:after="57"/>
    </w:pPr>
  </w:style>
  <w:style w:type="paragraph" w:styleId="858">
    <w:name w:val="toc 6"/>
    <w:basedOn w:val="864"/>
    <w:next w:val="864"/>
    <w:uiPriority w:val="39"/>
    <w:unhideWhenUsed/>
    <w:pPr>
      <w:ind w:left="1417" w:right="0" w:firstLine="0"/>
      <w:spacing w:after="57"/>
    </w:pPr>
  </w:style>
  <w:style w:type="paragraph" w:styleId="859">
    <w:name w:val="toc 7"/>
    <w:basedOn w:val="864"/>
    <w:next w:val="864"/>
    <w:uiPriority w:val="39"/>
    <w:unhideWhenUsed/>
    <w:pPr>
      <w:ind w:left="1701" w:right="0" w:firstLine="0"/>
      <w:spacing w:after="57"/>
    </w:pPr>
  </w:style>
  <w:style w:type="paragraph" w:styleId="860">
    <w:name w:val="toc 8"/>
    <w:basedOn w:val="864"/>
    <w:next w:val="864"/>
    <w:uiPriority w:val="39"/>
    <w:unhideWhenUsed/>
    <w:pPr>
      <w:ind w:left="1984" w:right="0" w:firstLine="0"/>
      <w:spacing w:after="57"/>
    </w:pPr>
  </w:style>
  <w:style w:type="paragraph" w:styleId="861">
    <w:name w:val="toc 9"/>
    <w:basedOn w:val="864"/>
    <w:next w:val="864"/>
    <w:uiPriority w:val="39"/>
    <w:unhideWhenUsed/>
    <w:pPr>
      <w:ind w:left="2268" w:right="0" w:firstLine="0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864"/>
    <w:next w:val="864"/>
    <w:uiPriority w:val="99"/>
    <w:unhideWhenUsed/>
    <w:pPr>
      <w:spacing w:after="0" w:afterAutospacing="0"/>
    </w:pPr>
  </w:style>
  <w:style w:type="paragraph" w:styleId="864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865">
    <w:name w:val="Heading 3"/>
    <w:basedOn w:val="864"/>
    <w:link w:val="871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character" w:styleId="866" w:default="1">
    <w:name w:val="Default Paragraph Font"/>
    <w:uiPriority w:val="1"/>
    <w:semiHidden/>
    <w:unhideWhenUsed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paragraph" w:styleId="869">
    <w:name w:val="No Spacing"/>
    <w:uiPriority w:val="1"/>
    <w:qFormat/>
    <w:rPr>
      <w:sz w:val="22"/>
      <w:szCs w:val="22"/>
      <w:lang w:eastAsia="en-US"/>
    </w:rPr>
  </w:style>
  <w:style w:type="table" w:styleId="870">
    <w:name w:val="Table Grid"/>
    <w:basedOn w:val="867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71" w:customStyle="1">
    <w:name w:val="Заголовок 3 Знак"/>
    <w:basedOn w:val="866"/>
    <w:link w:val="865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72">
    <w:name w:val="Normal (Web)"/>
    <w:basedOn w:val="864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73">
    <w:name w:val="Hyperlink"/>
    <w:basedOn w:val="866"/>
    <w:unhideWhenUsed/>
    <w:rPr>
      <w:color w:val="0000ff"/>
      <w:u w:val="single"/>
    </w:rPr>
  </w:style>
  <w:style w:type="character" w:styleId="874" w:customStyle="1">
    <w:name w:val="Основной текст 2 Знак"/>
    <w:basedOn w:val="866"/>
    <w:link w:val="875"/>
    <w:rPr>
      <w:rFonts w:eastAsia="MS Mincho"/>
      <w:sz w:val="24"/>
      <w:szCs w:val="24"/>
    </w:rPr>
  </w:style>
  <w:style w:type="paragraph" w:styleId="875">
    <w:name w:val="Body Text 2"/>
    <w:basedOn w:val="864"/>
    <w:link w:val="874"/>
    <w:pPr>
      <w:spacing w:after="120" w:line="480" w:lineRule="auto"/>
    </w:pPr>
    <w:rPr>
      <w:rFonts w:eastAsia="MS Mincho"/>
      <w:sz w:val="24"/>
      <w:szCs w:val="24"/>
      <w:lang w:eastAsia="ru-RU"/>
    </w:rPr>
  </w:style>
  <w:style w:type="character" w:styleId="876" w:customStyle="1">
    <w:name w:val="Основной текст 2 Знак1"/>
    <w:basedOn w:val="866"/>
    <w:uiPriority w:val="99"/>
    <w:semiHidden/>
    <w:rPr>
      <w:sz w:val="22"/>
      <w:szCs w:val="22"/>
      <w:lang w:eastAsia="en-US"/>
    </w:rPr>
  </w:style>
  <w:style w:type="paragraph" w:styleId="877">
    <w:name w:val="Header"/>
    <w:basedOn w:val="864"/>
    <w:link w:val="878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8" w:customStyle="1">
    <w:name w:val="Верхний колонтитул Знак"/>
    <w:basedOn w:val="866"/>
    <w:link w:val="877"/>
    <w:uiPriority w:val="99"/>
    <w:rPr>
      <w:sz w:val="22"/>
      <w:szCs w:val="22"/>
      <w:lang w:eastAsia="en-US"/>
    </w:rPr>
  </w:style>
  <w:style w:type="paragraph" w:styleId="879">
    <w:name w:val="Footer"/>
    <w:basedOn w:val="864"/>
    <w:link w:val="88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0" w:customStyle="1">
    <w:name w:val="Нижний колонтитул Знак"/>
    <w:basedOn w:val="866"/>
    <w:link w:val="879"/>
    <w:uiPriority w:val="99"/>
    <w:rPr>
      <w:sz w:val="22"/>
      <w:szCs w:val="22"/>
      <w:lang w:eastAsia="en-US"/>
    </w:rPr>
  </w:style>
  <w:style w:type="paragraph" w:styleId="881">
    <w:name w:val="Balloon Text"/>
    <w:basedOn w:val="864"/>
    <w:link w:val="88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2" w:customStyle="1">
    <w:name w:val="Текст выноски Знак"/>
    <w:basedOn w:val="866"/>
    <w:link w:val="881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883" w:customStyle="1">
    <w:name w:val="ConsPlusNormal"/>
    <w:pPr>
      <w:widowControl w:val="off"/>
    </w:pPr>
    <w:rPr>
      <w:rFonts w:eastAsia="Times New Roman" w:cs="Calibri"/>
      <w:sz w:val="22"/>
      <w:szCs w:val="22"/>
      <w:lang w:eastAsia="zh-CN"/>
    </w:rPr>
  </w:style>
  <w:style w:type="character" w:styleId="884">
    <w:name w:val="FollowedHyperlink"/>
    <w:basedOn w:val="866"/>
    <w:uiPriority w:val="99"/>
    <w:semiHidden/>
    <w:unhideWhenUsed/>
    <w:rPr>
      <w:color w:val="800080" w:themeColor="followedHyperlink"/>
      <w:u w:val="single"/>
    </w:rPr>
  </w:style>
  <w:style w:type="paragraph" w:styleId="885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886" w:customStyle="1">
    <w:name w:val="Основной текст с отступом 2"/>
    <w:pPr>
      <w:contextualSpacing w:val="0"/>
      <w:ind w:left="0" w:right="0" w:firstLine="567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7" w:customStyle="1">
    <w:name w:val="Основной текст с отступом"/>
    <w:pPr>
      <w:contextualSpacing w:val="0"/>
      <w:ind w:left="0" w:right="0" w:firstLine="54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5CD24-A319-42D5-8B10-22BA649EE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Mokienko-AV</cp:lastModifiedBy>
  <cp:revision>48</cp:revision>
  <dcterms:created xsi:type="dcterms:W3CDTF">2023-08-30T01:28:00Z</dcterms:created>
  <dcterms:modified xsi:type="dcterms:W3CDTF">2026-02-13T00:54:40Z</dcterms:modified>
</cp:coreProperties>
</file>